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CB8" w:rsidRDefault="00C32CB8" w:rsidP="00C32CB8">
      <w:pPr>
        <w:tabs>
          <w:tab w:val="left" w:pos="0"/>
        </w:tabs>
        <w:spacing w:after="0" w:line="240" w:lineRule="auto"/>
        <w:jc w:val="center"/>
        <w:rPr>
          <w:rFonts w:ascii="Comic Sans MS" w:hAnsi="Comic Sans MS"/>
          <w:noProof/>
          <w:sz w:val="20"/>
          <w:szCs w:val="20"/>
          <w:lang w:eastAsia="it-IT"/>
        </w:rPr>
      </w:pPr>
      <w:r>
        <w:rPr>
          <w:noProof/>
          <w:lang w:eastAsia="it-IT"/>
        </w:rPr>
        <w:drawing>
          <wp:inline distT="0" distB="0" distL="0" distR="0">
            <wp:extent cx="6105525" cy="790575"/>
            <wp:effectExtent l="0" t="0" r="9525" b="9525"/>
            <wp:docPr id="1" name="Immagine 1"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art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5525" cy="790575"/>
                    </a:xfrm>
                    <a:prstGeom prst="rect">
                      <a:avLst/>
                    </a:prstGeom>
                    <a:noFill/>
                    <a:ln>
                      <a:noFill/>
                    </a:ln>
                  </pic:spPr>
                </pic:pic>
              </a:graphicData>
            </a:graphic>
          </wp:inline>
        </w:drawing>
      </w:r>
    </w:p>
    <w:p w:rsidR="00C32CB8" w:rsidRDefault="00C32CB8" w:rsidP="00C32CB8">
      <w:pPr>
        <w:tabs>
          <w:tab w:val="left" w:pos="0"/>
        </w:tabs>
        <w:spacing w:after="0" w:line="240" w:lineRule="auto"/>
        <w:jc w:val="center"/>
        <w:rPr>
          <w:rFonts w:ascii="Comic Sans MS" w:hAnsi="Comic Sans MS"/>
          <w:noProof/>
          <w:sz w:val="20"/>
          <w:szCs w:val="20"/>
          <w:lang w:eastAsia="it-IT"/>
        </w:rPr>
      </w:pPr>
      <w:r>
        <w:rPr>
          <w:rFonts w:ascii="Comic Sans MS" w:hAnsi="Comic Sans MS"/>
          <w:noProof/>
          <w:sz w:val="20"/>
          <w:szCs w:val="20"/>
          <w:lang w:eastAsia="it-IT"/>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32CB8" w:rsidTr="00C32CB8">
        <w:trPr>
          <w:trHeight w:val="1835"/>
          <w:jc w:val="center"/>
        </w:trPr>
        <w:tc>
          <w:tcPr>
            <w:tcW w:w="9639" w:type="dxa"/>
            <w:tcBorders>
              <w:top w:val="single" w:sz="4" w:space="0" w:color="auto"/>
              <w:left w:val="single" w:sz="4" w:space="0" w:color="auto"/>
              <w:bottom w:val="single" w:sz="4" w:space="0" w:color="auto"/>
              <w:right w:val="single" w:sz="4" w:space="0" w:color="auto"/>
            </w:tcBorders>
          </w:tcPr>
          <w:p w:rsidR="00C32CB8" w:rsidRDefault="00C32CB8">
            <w:pPr>
              <w:suppressAutoHyphens/>
              <w:overflowPunct w:val="0"/>
              <w:autoSpaceDE w:val="0"/>
              <w:spacing w:after="0" w:line="240" w:lineRule="auto"/>
              <w:ind w:left="29"/>
              <w:jc w:val="center"/>
              <w:outlineLvl w:val="2"/>
              <w:rPr>
                <w:rFonts w:ascii="Verdana" w:eastAsia="Times New Roman" w:hAnsi="Verdana"/>
                <w:sz w:val="18"/>
                <w:szCs w:val="18"/>
                <w:lang w:val="x-none" w:eastAsia="ar-SA"/>
              </w:rPr>
            </w:pPr>
            <w:r>
              <w:rPr>
                <w:rFonts w:ascii="Verdana" w:eastAsia="Times New Roman" w:hAnsi="Verdana"/>
                <w:sz w:val="18"/>
                <w:szCs w:val="18"/>
                <w:lang w:val="x-none" w:eastAsia="ar-SA"/>
              </w:rPr>
              <w:t>M.I.U.R</w:t>
            </w:r>
          </w:p>
          <w:p w:rsidR="00C32CB8" w:rsidRDefault="00C32CB8">
            <w:pPr>
              <w:suppressAutoHyphens/>
              <w:overflowPunct w:val="0"/>
              <w:autoSpaceDE w:val="0"/>
              <w:spacing w:after="0" w:line="240" w:lineRule="auto"/>
              <w:ind w:left="29"/>
              <w:jc w:val="center"/>
              <w:outlineLvl w:val="2"/>
              <w:rPr>
                <w:rFonts w:ascii="Verdana" w:eastAsia="Times New Roman" w:hAnsi="Verdana"/>
                <w:sz w:val="18"/>
                <w:szCs w:val="18"/>
                <w:lang w:val="x-none" w:eastAsia="ar-SA"/>
              </w:rPr>
            </w:pPr>
            <w:r>
              <w:rPr>
                <w:rFonts w:ascii="Verdana" w:eastAsia="Times New Roman" w:hAnsi="Verdana"/>
                <w:sz w:val="18"/>
                <w:szCs w:val="18"/>
                <w:lang w:val="x-none" w:eastAsia="ar-SA"/>
              </w:rPr>
              <w:t>ISTITUTO SCOLASTICO COMPRENSIVO "Maria Montessori" RONCO BR.NO/SULBIATE</w:t>
            </w:r>
          </w:p>
          <w:p w:rsidR="00C32CB8" w:rsidRDefault="00C32CB8">
            <w:pPr>
              <w:suppressAutoHyphens/>
              <w:overflowPunct w:val="0"/>
              <w:autoSpaceDE w:val="0"/>
              <w:spacing w:after="0" w:line="240" w:lineRule="auto"/>
              <w:ind w:left="29"/>
              <w:jc w:val="center"/>
              <w:outlineLvl w:val="2"/>
              <w:rPr>
                <w:rFonts w:ascii="Verdana" w:eastAsia="Times New Roman" w:hAnsi="Verdana"/>
                <w:sz w:val="18"/>
                <w:szCs w:val="18"/>
                <w:lang w:eastAsia="ar-SA"/>
              </w:rPr>
            </w:pPr>
            <w:r>
              <w:rPr>
                <w:rFonts w:ascii="Verdana" w:eastAsia="Times New Roman" w:hAnsi="Verdana"/>
                <w:sz w:val="18"/>
                <w:szCs w:val="18"/>
                <w:lang w:val="x-none" w:eastAsia="ar-SA"/>
              </w:rPr>
              <w:t xml:space="preserve">Via IV Novembre, 7 – 20884 Sulbiate (MB) </w:t>
            </w:r>
          </w:p>
          <w:p w:rsidR="00C32CB8" w:rsidRDefault="00C32CB8">
            <w:pPr>
              <w:suppressAutoHyphens/>
              <w:overflowPunct w:val="0"/>
              <w:autoSpaceDE w:val="0"/>
              <w:spacing w:after="0" w:line="240" w:lineRule="auto"/>
              <w:ind w:left="29"/>
              <w:jc w:val="center"/>
              <w:outlineLvl w:val="2"/>
              <w:rPr>
                <w:rFonts w:ascii="Verdana" w:eastAsia="Times New Roman" w:hAnsi="Verdana"/>
                <w:sz w:val="18"/>
                <w:szCs w:val="18"/>
                <w:lang w:val="x-none" w:eastAsia="ar-SA"/>
              </w:rPr>
            </w:pPr>
            <w:r>
              <w:rPr>
                <w:rFonts w:ascii="Verdana" w:eastAsia="Times New Roman" w:hAnsi="Verdana"/>
                <w:sz w:val="18"/>
                <w:szCs w:val="18"/>
                <w:lang w:val="x-none" w:eastAsia="ar-SA"/>
              </w:rPr>
              <w:t>tel. 039/623775 - fax 039/6840862</w:t>
            </w:r>
          </w:p>
          <w:p w:rsidR="00C32CB8" w:rsidRDefault="00C32CB8">
            <w:pPr>
              <w:suppressAutoHyphens/>
              <w:overflowPunct w:val="0"/>
              <w:autoSpaceDE w:val="0"/>
              <w:spacing w:after="0" w:line="240" w:lineRule="auto"/>
              <w:ind w:left="29"/>
              <w:jc w:val="center"/>
              <w:outlineLvl w:val="2"/>
              <w:rPr>
                <w:rFonts w:ascii="Verdana" w:eastAsia="Times New Roman" w:hAnsi="Verdana"/>
                <w:sz w:val="18"/>
                <w:szCs w:val="18"/>
                <w:lang w:val="x-none" w:eastAsia="ar-SA"/>
              </w:rPr>
            </w:pPr>
            <w:r>
              <w:rPr>
                <w:rFonts w:ascii="Verdana" w:eastAsia="Times New Roman" w:hAnsi="Verdana"/>
                <w:sz w:val="18"/>
                <w:szCs w:val="18"/>
                <w:lang w:eastAsia="ar-SA"/>
              </w:rPr>
              <w:t>c</w:t>
            </w:r>
            <w:r>
              <w:rPr>
                <w:rFonts w:ascii="Verdana" w:eastAsia="Times New Roman" w:hAnsi="Verdana"/>
                <w:sz w:val="18"/>
                <w:szCs w:val="18"/>
                <w:lang w:val="x-none" w:eastAsia="ar-SA"/>
              </w:rPr>
              <w:t>od</w:t>
            </w:r>
            <w:r>
              <w:rPr>
                <w:rFonts w:ascii="Verdana" w:eastAsia="Times New Roman" w:hAnsi="Verdana"/>
                <w:sz w:val="18"/>
                <w:szCs w:val="18"/>
                <w:lang w:eastAsia="ar-SA"/>
              </w:rPr>
              <w:t>.</w:t>
            </w:r>
            <w:r>
              <w:rPr>
                <w:rFonts w:ascii="Verdana" w:eastAsia="Times New Roman" w:hAnsi="Verdana"/>
                <w:sz w:val="18"/>
                <w:szCs w:val="18"/>
                <w:lang w:val="x-none" w:eastAsia="ar-SA"/>
              </w:rPr>
              <w:t xml:space="preserve"> fiscale</w:t>
            </w:r>
            <w:r>
              <w:rPr>
                <w:rFonts w:ascii="Verdana" w:eastAsia="Times New Roman" w:hAnsi="Verdana"/>
                <w:sz w:val="18"/>
                <w:szCs w:val="18"/>
                <w:lang w:eastAsia="ar-SA"/>
              </w:rPr>
              <w:t>:</w:t>
            </w:r>
            <w:r>
              <w:rPr>
                <w:rFonts w:ascii="Verdana" w:eastAsia="Times New Roman" w:hAnsi="Verdana"/>
                <w:sz w:val="18"/>
                <w:szCs w:val="18"/>
                <w:lang w:val="x-none" w:eastAsia="ar-SA"/>
              </w:rPr>
              <w:t xml:space="preserve">94037050153 – </w:t>
            </w:r>
            <w:r>
              <w:rPr>
                <w:rFonts w:ascii="Verdana" w:eastAsia="Times New Roman" w:hAnsi="Verdana"/>
                <w:sz w:val="18"/>
                <w:szCs w:val="18"/>
                <w:lang w:eastAsia="ar-SA"/>
              </w:rPr>
              <w:t>c</w:t>
            </w:r>
            <w:r>
              <w:rPr>
                <w:rFonts w:ascii="Verdana" w:eastAsia="Times New Roman" w:hAnsi="Verdana"/>
                <w:sz w:val="18"/>
                <w:szCs w:val="18"/>
                <w:lang w:val="x-none" w:eastAsia="ar-SA"/>
              </w:rPr>
              <w:t>od</w:t>
            </w:r>
            <w:r>
              <w:rPr>
                <w:rFonts w:ascii="Verdana" w:eastAsia="Times New Roman" w:hAnsi="Verdana"/>
                <w:sz w:val="18"/>
                <w:szCs w:val="18"/>
                <w:lang w:eastAsia="ar-SA"/>
              </w:rPr>
              <w:t>.</w:t>
            </w:r>
            <w:r>
              <w:rPr>
                <w:rFonts w:ascii="Verdana" w:eastAsia="Times New Roman" w:hAnsi="Verdana"/>
                <w:sz w:val="18"/>
                <w:szCs w:val="18"/>
                <w:lang w:val="x-none" w:eastAsia="ar-SA"/>
              </w:rPr>
              <w:t xml:space="preserve"> </w:t>
            </w:r>
            <w:proofErr w:type="gramStart"/>
            <w:r>
              <w:rPr>
                <w:rFonts w:ascii="Verdana" w:eastAsia="Times New Roman" w:hAnsi="Verdana"/>
                <w:sz w:val="18"/>
                <w:szCs w:val="18"/>
                <w:lang w:eastAsia="ar-SA"/>
              </w:rPr>
              <w:t>m</w:t>
            </w:r>
            <w:proofErr w:type="spellStart"/>
            <w:r>
              <w:rPr>
                <w:rFonts w:ascii="Verdana" w:eastAsia="Times New Roman" w:hAnsi="Verdana"/>
                <w:sz w:val="18"/>
                <w:szCs w:val="18"/>
                <w:lang w:val="x-none" w:eastAsia="ar-SA"/>
              </w:rPr>
              <w:t>ecc</w:t>
            </w:r>
            <w:r>
              <w:rPr>
                <w:rFonts w:ascii="Verdana" w:eastAsia="Times New Roman" w:hAnsi="Verdana"/>
                <w:sz w:val="18"/>
                <w:szCs w:val="18"/>
                <w:lang w:eastAsia="ar-SA"/>
              </w:rPr>
              <w:t>anografico</w:t>
            </w:r>
            <w:proofErr w:type="spellEnd"/>
            <w:r>
              <w:rPr>
                <w:rFonts w:ascii="Verdana" w:eastAsia="Times New Roman" w:hAnsi="Verdana"/>
                <w:sz w:val="18"/>
                <w:szCs w:val="18"/>
                <w:lang w:eastAsia="ar-SA"/>
              </w:rPr>
              <w:t>:</w:t>
            </w:r>
            <w:r>
              <w:rPr>
                <w:rFonts w:ascii="Verdana" w:eastAsia="Times New Roman" w:hAnsi="Verdana"/>
                <w:sz w:val="18"/>
                <w:szCs w:val="18"/>
                <w:lang w:val="x-none" w:eastAsia="ar-SA"/>
              </w:rPr>
              <w:t>MIIC</w:t>
            </w:r>
            <w:proofErr w:type="gramEnd"/>
            <w:r>
              <w:rPr>
                <w:rFonts w:ascii="Verdana" w:eastAsia="Times New Roman" w:hAnsi="Verdana"/>
                <w:sz w:val="18"/>
                <w:szCs w:val="18"/>
                <w:lang w:val="x-none" w:eastAsia="ar-SA"/>
              </w:rPr>
              <w:t xml:space="preserve">8DJ008  </w:t>
            </w:r>
            <w:r>
              <w:rPr>
                <w:rFonts w:ascii="Verdana" w:eastAsia="Times New Roman" w:hAnsi="Verdana"/>
                <w:sz w:val="18"/>
                <w:szCs w:val="18"/>
                <w:lang w:eastAsia="ar-SA"/>
              </w:rPr>
              <w:t>cod.</w:t>
            </w:r>
            <w:r>
              <w:rPr>
                <w:rFonts w:ascii="Verdana" w:eastAsia="Times New Roman" w:hAnsi="Verdana"/>
                <w:sz w:val="18"/>
                <w:szCs w:val="18"/>
                <w:lang w:val="x-none" w:eastAsia="ar-SA"/>
              </w:rPr>
              <w:t xml:space="preserve"> </w:t>
            </w:r>
            <w:r>
              <w:rPr>
                <w:rFonts w:ascii="Verdana" w:eastAsia="Times New Roman" w:hAnsi="Verdana"/>
                <w:sz w:val="18"/>
                <w:szCs w:val="18"/>
                <w:lang w:eastAsia="ar-SA"/>
              </w:rPr>
              <w:t>univoco</w:t>
            </w:r>
            <w:r>
              <w:rPr>
                <w:rFonts w:ascii="Verdana" w:eastAsia="Times New Roman" w:hAnsi="Verdana"/>
                <w:sz w:val="18"/>
                <w:szCs w:val="18"/>
                <w:lang w:val="x-none" w:eastAsia="ar-SA"/>
              </w:rPr>
              <w:t xml:space="preserve"> </w:t>
            </w:r>
            <w:r>
              <w:rPr>
                <w:rFonts w:ascii="Verdana" w:eastAsia="Times New Roman" w:hAnsi="Verdana"/>
                <w:sz w:val="18"/>
                <w:szCs w:val="18"/>
                <w:lang w:eastAsia="ar-SA"/>
              </w:rPr>
              <w:t>fatturazione</w:t>
            </w:r>
            <w:r>
              <w:rPr>
                <w:rFonts w:ascii="Verdana" w:eastAsia="Times New Roman" w:hAnsi="Verdana"/>
                <w:sz w:val="18"/>
                <w:szCs w:val="18"/>
                <w:lang w:val="x-none" w:eastAsia="ar-SA"/>
              </w:rPr>
              <w:t>:UF9M8S</w:t>
            </w:r>
          </w:p>
          <w:p w:rsidR="00C32CB8" w:rsidRDefault="00C32CB8">
            <w:pPr>
              <w:suppressAutoHyphens/>
              <w:overflowPunct w:val="0"/>
              <w:autoSpaceDE w:val="0"/>
              <w:spacing w:after="0" w:line="240" w:lineRule="auto"/>
              <w:ind w:left="29"/>
              <w:jc w:val="center"/>
              <w:outlineLvl w:val="2"/>
              <w:rPr>
                <w:rFonts w:ascii="Verdana" w:eastAsia="Times New Roman" w:hAnsi="Verdana"/>
                <w:sz w:val="18"/>
                <w:szCs w:val="18"/>
                <w:lang w:val="x-none" w:eastAsia="ar-SA"/>
              </w:rPr>
            </w:pPr>
            <w:r>
              <w:rPr>
                <w:rFonts w:ascii="Verdana" w:eastAsia="Times New Roman" w:hAnsi="Verdana"/>
                <w:sz w:val="18"/>
                <w:szCs w:val="18"/>
                <w:lang w:eastAsia="ar-SA"/>
              </w:rPr>
              <w:t>e</w:t>
            </w:r>
            <w:r>
              <w:rPr>
                <w:rFonts w:ascii="Verdana" w:eastAsia="Times New Roman" w:hAnsi="Verdana"/>
                <w:sz w:val="18"/>
                <w:szCs w:val="18"/>
                <w:lang w:val="x-none" w:eastAsia="ar-SA"/>
              </w:rPr>
              <w:t>-mail: miic8dj008@istruzione.it   PEC: miic8dj008@pec.istruzione.it</w:t>
            </w:r>
          </w:p>
          <w:p w:rsidR="00C32CB8" w:rsidRDefault="009B2504">
            <w:pPr>
              <w:suppressAutoHyphens/>
              <w:overflowPunct w:val="0"/>
              <w:autoSpaceDE w:val="0"/>
              <w:spacing w:after="0" w:line="240" w:lineRule="auto"/>
              <w:ind w:left="29"/>
              <w:jc w:val="center"/>
              <w:outlineLvl w:val="2"/>
              <w:rPr>
                <w:rFonts w:ascii="Verdana" w:eastAsia="Times New Roman" w:hAnsi="Verdana"/>
                <w:sz w:val="18"/>
                <w:szCs w:val="18"/>
                <w:lang w:val="x-none" w:eastAsia="ar-SA"/>
              </w:rPr>
            </w:pPr>
            <w:hyperlink r:id="rId7" w:history="1">
              <w:r w:rsidR="00C32CB8">
                <w:rPr>
                  <w:rStyle w:val="Collegamentoipertestuale"/>
                  <w:rFonts w:ascii="Verdana" w:eastAsia="Times New Roman" w:hAnsi="Verdana"/>
                  <w:color w:val="0563C1"/>
                  <w:sz w:val="18"/>
                  <w:szCs w:val="18"/>
                  <w:lang w:val="x-none" w:eastAsia="ar-SA"/>
                </w:rPr>
                <w:t>www.icsulbiate</w:t>
              </w:r>
              <w:r w:rsidR="00C32CB8">
                <w:rPr>
                  <w:rStyle w:val="Collegamentoipertestuale"/>
                  <w:rFonts w:ascii="Verdana" w:eastAsia="Times New Roman" w:hAnsi="Verdana"/>
                  <w:color w:val="0563C1"/>
                  <w:sz w:val="18"/>
                  <w:szCs w:val="18"/>
                  <w:lang w:eastAsia="ar-SA"/>
                </w:rPr>
                <w:t>ronco</w:t>
              </w:r>
              <w:r w:rsidR="00C32CB8">
                <w:rPr>
                  <w:rStyle w:val="Collegamentoipertestuale"/>
                  <w:rFonts w:ascii="Verdana" w:eastAsia="Times New Roman" w:hAnsi="Verdana"/>
                  <w:color w:val="0563C1"/>
                  <w:sz w:val="18"/>
                  <w:szCs w:val="18"/>
                  <w:lang w:val="x-none" w:eastAsia="ar-SA"/>
                </w:rPr>
                <w:t>.gov.it</w:t>
              </w:r>
            </w:hyperlink>
          </w:p>
          <w:p w:rsidR="00C32CB8" w:rsidRDefault="00C32CB8">
            <w:pPr>
              <w:suppressAutoHyphens/>
              <w:overflowPunct w:val="0"/>
              <w:autoSpaceDE w:val="0"/>
              <w:spacing w:after="0" w:line="240" w:lineRule="auto"/>
              <w:ind w:left="29"/>
              <w:jc w:val="center"/>
              <w:outlineLvl w:val="2"/>
              <w:rPr>
                <w:rFonts w:ascii="Times New Roman" w:eastAsia="Times New Roman" w:hAnsi="Times New Roman"/>
                <w:sz w:val="20"/>
                <w:szCs w:val="20"/>
                <w:lang w:val="x-none" w:eastAsia="ar-SA"/>
              </w:rPr>
            </w:pPr>
          </w:p>
        </w:tc>
      </w:tr>
    </w:tbl>
    <w:p w:rsidR="00960C6E" w:rsidRPr="00960C6E" w:rsidRDefault="00960C6E" w:rsidP="001F114B">
      <w:pPr>
        <w:pStyle w:val="Default"/>
        <w:rPr>
          <w:rFonts w:ascii="Verdana" w:hAnsi="Verdana"/>
          <w:bCs/>
          <w:sz w:val="22"/>
          <w:szCs w:val="22"/>
        </w:rPr>
      </w:pPr>
    </w:p>
    <w:p w:rsidR="00960C6E" w:rsidRDefault="00960C6E" w:rsidP="001F114B">
      <w:pPr>
        <w:pStyle w:val="Default"/>
        <w:rPr>
          <w:rFonts w:ascii="Verdana" w:hAnsi="Verdana"/>
          <w:bCs/>
          <w:sz w:val="22"/>
          <w:szCs w:val="22"/>
        </w:rPr>
      </w:pPr>
      <w:r>
        <w:rPr>
          <w:rFonts w:ascii="Verdana" w:hAnsi="Verdana"/>
          <w:bCs/>
          <w:sz w:val="22"/>
          <w:szCs w:val="22"/>
        </w:rPr>
        <w:t>Circolare n°88</w:t>
      </w:r>
    </w:p>
    <w:p w:rsidR="00960C6E" w:rsidRDefault="00960C6E" w:rsidP="001F114B">
      <w:pPr>
        <w:pStyle w:val="Default"/>
        <w:rPr>
          <w:rFonts w:ascii="Verdana" w:hAnsi="Verdana"/>
          <w:bCs/>
          <w:sz w:val="22"/>
          <w:szCs w:val="22"/>
        </w:rPr>
      </w:pPr>
      <w:r>
        <w:rPr>
          <w:rFonts w:ascii="Verdana" w:hAnsi="Verdana"/>
          <w:bCs/>
          <w:sz w:val="22"/>
          <w:szCs w:val="22"/>
        </w:rPr>
        <w:t>Sulbiate 9-12-2016</w:t>
      </w:r>
    </w:p>
    <w:p w:rsidR="00960C6E" w:rsidRDefault="009B2504" w:rsidP="001F114B">
      <w:pPr>
        <w:pStyle w:val="Default"/>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t xml:space="preserve">Ai Docenti in anno di formazione e prova </w:t>
      </w:r>
    </w:p>
    <w:p w:rsidR="009B2504" w:rsidRDefault="009B2504" w:rsidP="001F114B">
      <w:pPr>
        <w:pStyle w:val="Default"/>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t xml:space="preserve">Ai tutor dei Docenti in Oggetto </w:t>
      </w:r>
    </w:p>
    <w:p w:rsidR="009B2504" w:rsidRDefault="009B2504" w:rsidP="001F114B">
      <w:pPr>
        <w:pStyle w:val="Default"/>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p>
    <w:p w:rsidR="009B2504" w:rsidRDefault="009B2504" w:rsidP="001F114B">
      <w:pPr>
        <w:pStyle w:val="Default"/>
        <w:rPr>
          <w:rFonts w:ascii="Verdana" w:hAnsi="Verdana"/>
          <w:bCs/>
          <w:sz w:val="22"/>
          <w:szCs w:val="22"/>
        </w:rPr>
      </w:pPr>
    </w:p>
    <w:p w:rsidR="00960C6E" w:rsidRPr="00960C6E" w:rsidRDefault="00960C6E" w:rsidP="00960C6E">
      <w:pPr>
        <w:pStyle w:val="Default"/>
        <w:ind w:left="1410" w:hanging="1410"/>
        <w:rPr>
          <w:rFonts w:ascii="Verdana" w:hAnsi="Verdana"/>
          <w:bCs/>
          <w:sz w:val="22"/>
          <w:szCs w:val="22"/>
        </w:rPr>
      </w:pPr>
      <w:r w:rsidRPr="00960C6E">
        <w:rPr>
          <w:rFonts w:ascii="Verdana" w:hAnsi="Verdana"/>
          <w:b/>
          <w:bCs/>
          <w:sz w:val="22"/>
          <w:szCs w:val="22"/>
        </w:rPr>
        <w:t>OGGETTO</w:t>
      </w:r>
      <w:r>
        <w:rPr>
          <w:rFonts w:ascii="Verdana" w:hAnsi="Verdana"/>
          <w:bCs/>
          <w:sz w:val="22"/>
          <w:szCs w:val="22"/>
        </w:rPr>
        <w:t xml:space="preserve">: </w:t>
      </w:r>
      <w:r>
        <w:rPr>
          <w:rFonts w:ascii="Verdana" w:hAnsi="Verdana"/>
          <w:bCs/>
          <w:sz w:val="22"/>
          <w:szCs w:val="22"/>
        </w:rPr>
        <w:tab/>
        <w:t xml:space="preserve">Periodo di formazione e anno di prova personale docente neo-assunto in ruolo a tempo indeterminato – </w:t>
      </w:r>
      <w:proofErr w:type="spellStart"/>
      <w:r>
        <w:rPr>
          <w:rFonts w:ascii="Verdana" w:hAnsi="Verdana"/>
          <w:bCs/>
          <w:sz w:val="22"/>
          <w:szCs w:val="22"/>
        </w:rPr>
        <w:t>a.s.</w:t>
      </w:r>
      <w:proofErr w:type="spellEnd"/>
      <w:r>
        <w:rPr>
          <w:rFonts w:ascii="Verdana" w:hAnsi="Verdana"/>
          <w:bCs/>
          <w:sz w:val="22"/>
          <w:szCs w:val="22"/>
        </w:rPr>
        <w:t xml:space="preserve"> 2016-2017 </w:t>
      </w:r>
    </w:p>
    <w:p w:rsidR="00960C6E" w:rsidRPr="00960C6E" w:rsidRDefault="00960C6E" w:rsidP="001F114B">
      <w:pPr>
        <w:pStyle w:val="Default"/>
        <w:rPr>
          <w:rFonts w:ascii="Verdana" w:hAnsi="Verdana"/>
          <w:bCs/>
          <w:sz w:val="22"/>
          <w:szCs w:val="22"/>
        </w:rPr>
      </w:pPr>
    </w:p>
    <w:p w:rsidR="00960C6E" w:rsidRDefault="001F114B" w:rsidP="00C309E9">
      <w:pPr>
        <w:pStyle w:val="Default"/>
        <w:spacing w:after="240"/>
        <w:rPr>
          <w:rFonts w:ascii="Verdana" w:hAnsi="Verdana"/>
          <w:sz w:val="22"/>
          <w:szCs w:val="22"/>
        </w:rPr>
      </w:pPr>
      <w:r w:rsidRPr="00960C6E">
        <w:rPr>
          <w:rFonts w:ascii="Verdana" w:hAnsi="Verdana"/>
          <w:sz w:val="22"/>
          <w:szCs w:val="22"/>
        </w:rPr>
        <w:t xml:space="preserve">La Legge 107/15, Art. 1, c. 115 – 120, ha novellato la disciplina del periodo di formazione e di prova cui è tenuto il personale docente ed educativo neo assunto a tempo indeterminato o che ha ottenuto il passaggio di ruolo. </w:t>
      </w:r>
    </w:p>
    <w:p w:rsidR="00960C6E" w:rsidRDefault="001F114B" w:rsidP="00C309E9">
      <w:pPr>
        <w:pStyle w:val="Default"/>
        <w:spacing w:after="240"/>
        <w:rPr>
          <w:rFonts w:ascii="Verdana" w:hAnsi="Verdana"/>
          <w:sz w:val="22"/>
          <w:szCs w:val="22"/>
        </w:rPr>
      </w:pPr>
      <w:r w:rsidRPr="00960C6E">
        <w:rPr>
          <w:rFonts w:ascii="Verdana" w:hAnsi="Verdana"/>
          <w:sz w:val="22"/>
          <w:szCs w:val="22"/>
        </w:rPr>
        <w:t>Dette novità s</w:t>
      </w:r>
      <w:r w:rsidR="00960C6E">
        <w:rPr>
          <w:rFonts w:ascii="Verdana" w:hAnsi="Verdana"/>
          <w:sz w:val="22"/>
          <w:szCs w:val="22"/>
        </w:rPr>
        <w:t>ono dettagliate nel D.M. 850/15</w:t>
      </w:r>
      <w:r w:rsidRPr="00960C6E">
        <w:rPr>
          <w:rFonts w:ascii="Verdana" w:hAnsi="Verdana"/>
          <w:sz w:val="22"/>
          <w:szCs w:val="22"/>
        </w:rPr>
        <w:t xml:space="preserve"> e nella nota 5/11/2015, </w:t>
      </w:r>
      <w:proofErr w:type="spellStart"/>
      <w:r w:rsidRPr="00960C6E">
        <w:rPr>
          <w:rFonts w:ascii="Verdana" w:hAnsi="Verdana"/>
          <w:sz w:val="22"/>
          <w:szCs w:val="22"/>
        </w:rPr>
        <w:t>prot</w:t>
      </w:r>
      <w:proofErr w:type="spellEnd"/>
      <w:r w:rsidRPr="00960C6E">
        <w:rPr>
          <w:rFonts w:ascii="Verdana" w:hAnsi="Verdana"/>
          <w:sz w:val="22"/>
          <w:szCs w:val="22"/>
        </w:rPr>
        <w:t xml:space="preserve">. AOODGPER 36167, che individuano e regolamentano, tra l’altro, i requisiti di accesso e le caratteristiche del periodo di formazione e di prova. </w:t>
      </w:r>
    </w:p>
    <w:p w:rsidR="001F114B" w:rsidRPr="00960C6E" w:rsidRDefault="001F114B" w:rsidP="001F114B">
      <w:pPr>
        <w:pStyle w:val="Default"/>
        <w:rPr>
          <w:rFonts w:ascii="Verdana" w:hAnsi="Verdana"/>
          <w:sz w:val="22"/>
          <w:szCs w:val="22"/>
        </w:rPr>
      </w:pPr>
      <w:r w:rsidRPr="00960C6E">
        <w:rPr>
          <w:rFonts w:ascii="Verdana" w:hAnsi="Verdana"/>
          <w:sz w:val="22"/>
          <w:szCs w:val="22"/>
        </w:rPr>
        <w:t xml:space="preserve">Dette norme vengono pienamente confermate dalla nota 4/10/16, </w:t>
      </w:r>
      <w:proofErr w:type="spellStart"/>
      <w:r w:rsidRPr="00960C6E">
        <w:rPr>
          <w:rFonts w:ascii="Verdana" w:hAnsi="Verdana"/>
          <w:sz w:val="22"/>
          <w:szCs w:val="22"/>
        </w:rPr>
        <w:t>prot</w:t>
      </w:r>
      <w:proofErr w:type="spellEnd"/>
      <w:r w:rsidRPr="00960C6E">
        <w:rPr>
          <w:rFonts w:ascii="Verdana" w:hAnsi="Verdana"/>
          <w:sz w:val="22"/>
          <w:szCs w:val="22"/>
        </w:rPr>
        <w:t xml:space="preserve">. AOODGPER 28515. </w:t>
      </w:r>
    </w:p>
    <w:p w:rsidR="001F114B" w:rsidRPr="00C309E9" w:rsidRDefault="001F114B" w:rsidP="00C309E9">
      <w:pPr>
        <w:pStyle w:val="Default"/>
        <w:spacing w:before="240"/>
        <w:rPr>
          <w:rFonts w:ascii="Verdana" w:hAnsi="Verdana"/>
          <w:sz w:val="22"/>
          <w:szCs w:val="22"/>
          <w:u w:val="single"/>
        </w:rPr>
      </w:pPr>
      <w:r w:rsidRPr="00C309E9">
        <w:rPr>
          <w:rFonts w:ascii="Verdana" w:hAnsi="Verdana"/>
          <w:b/>
          <w:bCs/>
          <w:sz w:val="22"/>
          <w:szCs w:val="22"/>
          <w:u w:val="single"/>
        </w:rPr>
        <w:t xml:space="preserve">Personale interessato </w:t>
      </w:r>
    </w:p>
    <w:p w:rsidR="001F114B" w:rsidRPr="00960C6E" w:rsidRDefault="001F114B" w:rsidP="001F114B">
      <w:pPr>
        <w:pStyle w:val="Default"/>
        <w:rPr>
          <w:rFonts w:ascii="Verdana" w:hAnsi="Verdana"/>
          <w:sz w:val="22"/>
          <w:szCs w:val="22"/>
        </w:rPr>
      </w:pPr>
      <w:r w:rsidRPr="00960C6E">
        <w:rPr>
          <w:rFonts w:ascii="Verdana" w:hAnsi="Verdana"/>
          <w:sz w:val="22"/>
          <w:szCs w:val="22"/>
        </w:rPr>
        <w:t xml:space="preserve">Sono tenuti al periodo di formazione e di prova docenti con incarico a tempo indeterminato che: </w:t>
      </w:r>
    </w:p>
    <w:p w:rsidR="00C309E9" w:rsidRDefault="001F114B" w:rsidP="001F114B">
      <w:pPr>
        <w:pStyle w:val="Default"/>
        <w:numPr>
          <w:ilvl w:val="0"/>
          <w:numId w:val="1"/>
        </w:numPr>
        <w:spacing w:after="129"/>
        <w:rPr>
          <w:rFonts w:ascii="Verdana" w:hAnsi="Verdana"/>
          <w:sz w:val="22"/>
          <w:szCs w:val="22"/>
        </w:rPr>
      </w:pPr>
      <w:r w:rsidRPr="00960C6E">
        <w:rPr>
          <w:rFonts w:ascii="Verdana" w:hAnsi="Verdana"/>
          <w:sz w:val="22"/>
          <w:szCs w:val="22"/>
        </w:rPr>
        <w:t>pres</w:t>
      </w:r>
      <w:r w:rsidR="00C309E9">
        <w:rPr>
          <w:rFonts w:ascii="Verdana" w:hAnsi="Verdana"/>
          <w:sz w:val="22"/>
          <w:szCs w:val="22"/>
        </w:rPr>
        <w:t>tano il primo anno di servizio</w:t>
      </w:r>
    </w:p>
    <w:p w:rsidR="00C309E9" w:rsidRDefault="001F114B" w:rsidP="001F114B">
      <w:pPr>
        <w:pStyle w:val="Default"/>
        <w:numPr>
          <w:ilvl w:val="0"/>
          <w:numId w:val="1"/>
        </w:numPr>
        <w:spacing w:after="129"/>
        <w:rPr>
          <w:rFonts w:ascii="Verdana" w:hAnsi="Verdana"/>
          <w:sz w:val="22"/>
          <w:szCs w:val="22"/>
        </w:rPr>
      </w:pPr>
      <w:r w:rsidRPr="00C309E9">
        <w:rPr>
          <w:rFonts w:ascii="Verdana" w:hAnsi="Verdana"/>
          <w:sz w:val="22"/>
          <w:szCs w:val="22"/>
        </w:rPr>
        <w:t xml:space="preserve">non </w:t>
      </w:r>
      <w:proofErr w:type="spellStart"/>
      <w:r w:rsidR="00C309E9">
        <w:rPr>
          <w:rFonts w:ascii="Verdana" w:hAnsi="Verdana"/>
          <w:sz w:val="22"/>
          <w:szCs w:val="22"/>
        </w:rPr>
        <w:t>non</w:t>
      </w:r>
      <w:proofErr w:type="spellEnd"/>
      <w:r w:rsidR="00C309E9">
        <w:rPr>
          <w:rFonts w:ascii="Verdana" w:hAnsi="Verdana"/>
          <w:sz w:val="22"/>
          <w:szCs w:val="22"/>
        </w:rPr>
        <w:t xml:space="preserve"> hanno</w:t>
      </w:r>
      <w:r w:rsidRPr="00C309E9">
        <w:rPr>
          <w:rFonts w:ascii="Verdana" w:hAnsi="Verdana"/>
          <w:sz w:val="22"/>
          <w:szCs w:val="22"/>
        </w:rPr>
        <w:t xml:space="preserve"> potuto completare il periodo di formazione e </w:t>
      </w:r>
      <w:r w:rsidR="00C309E9">
        <w:rPr>
          <w:rFonts w:ascii="Verdana" w:hAnsi="Verdana"/>
          <w:sz w:val="22"/>
          <w:szCs w:val="22"/>
        </w:rPr>
        <w:t>di prova negli anni precedenti</w:t>
      </w:r>
    </w:p>
    <w:p w:rsidR="00C309E9" w:rsidRDefault="00C309E9" w:rsidP="00EE5F20">
      <w:pPr>
        <w:pStyle w:val="Default"/>
        <w:numPr>
          <w:ilvl w:val="0"/>
          <w:numId w:val="1"/>
        </w:numPr>
        <w:spacing w:after="129"/>
        <w:rPr>
          <w:rFonts w:ascii="Verdana" w:hAnsi="Verdana"/>
          <w:sz w:val="22"/>
          <w:szCs w:val="22"/>
        </w:rPr>
      </w:pPr>
      <w:r w:rsidRPr="00C309E9">
        <w:rPr>
          <w:rFonts w:ascii="Verdana" w:hAnsi="Verdana"/>
          <w:sz w:val="22"/>
          <w:szCs w:val="22"/>
        </w:rPr>
        <w:t xml:space="preserve">devono </w:t>
      </w:r>
      <w:r w:rsidR="001F114B" w:rsidRPr="00C309E9">
        <w:rPr>
          <w:rFonts w:ascii="Verdana" w:hAnsi="Verdana"/>
          <w:sz w:val="22"/>
          <w:szCs w:val="22"/>
        </w:rPr>
        <w:t xml:space="preserve">ripetere il periodo di formazione e di prova per </w:t>
      </w:r>
      <w:r>
        <w:rPr>
          <w:rFonts w:ascii="Verdana" w:hAnsi="Verdana"/>
          <w:sz w:val="22"/>
          <w:szCs w:val="22"/>
        </w:rPr>
        <w:t xml:space="preserve">effetto di valutazione </w:t>
      </w:r>
      <w:proofErr w:type="spellStart"/>
      <w:r>
        <w:rPr>
          <w:rFonts w:ascii="Verdana" w:hAnsi="Verdana"/>
          <w:sz w:val="22"/>
          <w:szCs w:val="22"/>
        </w:rPr>
        <w:t>negativ</w:t>
      </w:r>
      <w:proofErr w:type="spellEnd"/>
    </w:p>
    <w:p w:rsidR="001F114B" w:rsidRPr="00C309E9" w:rsidRDefault="001F114B" w:rsidP="001F114B">
      <w:pPr>
        <w:pStyle w:val="Default"/>
        <w:numPr>
          <w:ilvl w:val="0"/>
          <w:numId w:val="1"/>
        </w:numPr>
        <w:spacing w:after="129"/>
        <w:rPr>
          <w:rFonts w:ascii="Verdana" w:hAnsi="Verdana"/>
          <w:sz w:val="22"/>
          <w:szCs w:val="22"/>
        </w:rPr>
      </w:pPr>
      <w:r w:rsidRPr="00C309E9">
        <w:rPr>
          <w:rFonts w:ascii="Verdana" w:hAnsi="Verdana"/>
          <w:sz w:val="22"/>
          <w:szCs w:val="22"/>
        </w:rPr>
        <w:t xml:space="preserve">hanno ottenuto il passaggio di ruolo. </w:t>
      </w:r>
    </w:p>
    <w:p w:rsidR="001F114B" w:rsidRPr="00960C6E" w:rsidRDefault="001F114B" w:rsidP="00C309E9">
      <w:pPr>
        <w:rPr>
          <w:rFonts w:ascii="Verdana" w:hAnsi="Verdana"/>
        </w:rPr>
      </w:pPr>
      <w:r w:rsidRPr="00960C6E">
        <w:rPr>
          <w:rFonts w:ascii="Verdana" w:hAnsi="Verdana"/>
        </w:rPr>
        <w:t>In tutti i casi sopra citati le attività di formazione sono parte integrante del servizio in periodo di formazione e di prova e non possono essere rinviate o anticipate ma devono essere svolte contestualme</w:t>
      </w:r>
      <w:r w:rsidR="00C309E9">
        <w:rPr>
          <w:rFonts w:ascii="Verdana" w:hAnsi="Verdana"/>
        </w:rPr>
        <w:t>nte allo stesso</w:t>
      </w:r>
    </w:p>
    <w:p w:rsidR="001F114B" w:rsidRPr="00C309E9" w:rsidRDefault="001F114B" w:rsidP="001F114B">
      <w:pPr>
        <w:pStyle w:val="Default"/>
        <w:rPr>
          <w:rFonts w:ascii="Verdana" w:hAnsi="Verdana"/>
          <w:sz w:val="22"/>
          <w:szCs w:val="22"/>
          <w:u w:val="single"/>
        </w:rPr>
      </w:pPr>
      <w:r w:rsidRPr="00C309E9">
        <w:rPr>
          <w:rFonts w:ascii="Verdana" w:hAnsi="Verdana"/>
          <w:b/>
          <w:bCs/>
          <w:sz w:val="22"/>
          <w:szCs w:val="22"/>
          <w:u w:val="single"/>
        </w:rPr>
        <w:t xml:space="preserve">Servizi utili al superamento del periodo di formazione e prova </w:t>
      </w:r>
    </w:p>
    <w:p w:rsidR="001F114B" w:rsidRPr="00960C6E" w:rsidRDefault="001F114B" w:rsidP="001F114B">
      <w:pPr>
        <w:rPr>
          <w:rFonts w:ascii="Verdana" w:hAnsi="Verdana"/>
        </w:rPr>
      </w:pPr>
      <w:r w:rsidRPr="00960C6E">
        <w:rPr>
          <w:rFonts w:ascii="Verdana" w:hAnsi="Verdana"/>
        </w:rPr>
        <w:t>Il superamento del periodo di formazione e di prova è subordinato alla effettiva prestazione di almeno centottanta giorni di servizio nel corso dell'anno scolastico, di cui almeno centoventi di attività didattiche.</w:t>
      </w:r>
    </w:p>
    <w:p w:rsidR="001F114B" w:rsidRPr="00960C6E" w:rsidRDefault="001F114B" w:rsidP="001F114B">
      <w:pPr>
        <w:pStyle w:val="Default"/>
        <w:rPr>
          <w:rFonts w:ascii="Verdana" w:hAnsi="Verdana"/>
          <w:sz w:val="22"/>
          <w:szCs w:val="22"/>
        </w:rPr>
      </w:pPr>
      <w:r w:rsidRPr="00960C6E">
        <w:rPr>
          <w:rFonts w:ascii="Verdana" w:hAnsi="Verdana"/>
          <w:sz w:val="22"/>
          <w:szCs w:val="22"/>
        </w:rPr>
        <w:t>Nei centottanta giorni sono comprese tutte le attività co</w:t>
      </w:r>
      <w:r w:rsidR="00C309E9">
        <w:rPr>
          <w:rFonts w:ascii="Verdana" w:hAnsi="Verdana"/>
          <w:sz w:val="22"/>
          <w:szCs w:val="22"/>
        </w:rPr>
        <w:t xml:space="preserve">nnesse al servizio scolastico. </w:t>
      </w:r>
    </w:p>
    <w:p w:rsidR="001F114B" w:rsidRPr="00960C6E" w:rsidRDefault="001F114B" w:rsidP="001F114B">
      <w:pPr>
        <w:pStyle w:val="Default"/>
        <w:rPr>
          <w:rFonts w:ascii="Verdana" w:hAnsi="Verdana"/>
          <w:sz w:val="22"/>
          <w:szCs w:val="22"/>
        </w:rPr>
      </w:pPr>
      <w:r w:rsidRPr="00960C6E">
        <w:rPr>
          <w:rFonts w:ascii="Verdana" w:hAnsi="Verdana"/>
          <w:sz w:val="22"/>
          <w:szCs w:val="22"/>
        </w:rPr>
        <w:t>L'art.3 del D.M. 850/15 afferma che si devono computare nei 120 giorni di attività didattiche “sia i giorni effettivi di insegnamento sia i giorni impiegati presso la sede di servizio per ogni altra attività preordinata al migliore svolgimento dell’azione didattica”, ossia devono essere computati i gior</w:t>
      </w:r>
      <w:r w:rsidR="00C309E9">
        <w:rPr>
          <w:rFonts w:ascii="Verdana" w:hAnsi="Verdana"/>
          <w:sz w:val="22"/>
          <w:szCs w:val="22"/>
        </w:rPr>
        <w:t xml:space="preserve">ni di svolgimento di attività </w:t>
      </w:r>
      <w:r w:rsidRPr="00960C6E">
        <w:rPr>
          <w:rFonts w:ascii="Verdana" w:hAnsi="Verdana"/>
          <w:sz w:val="22"/>
          <w:szCs w:val="22"/>
        </w:rPr>
        <w:t>di</w:t>
      </w:r>
      <w:r w:rsidR="00C309E9">
        <w:rPr>
          <w:rFonts w:ascii="Verdana" w:hAnsi="Verdana"/>
          <w:sz w:val="22"/>
          <w:szCs w:val="22"/>
        </w:rPr>
        <w:t xml:space="preserve"> lezione, di recupero, di potenziamento, valutative, progettuali, formative e </w:t>
      </w:r>
      <w:r w:rsidRPr="00960C6E">
        <w:rPr>
          <w:rFonts w:ascii="Verdana" w:hAnsi="Verdana"/>
          <w:sz w:val="22"/>
          <w:szCs w:val="22"/>
        </w:rPr>
        <w:t xml:space="preserve">collegiali. </w:t>
      </w:r>
    </w:p>
    <w:p w:rsidR="001F114B" w:rsidRPr="00960C6E" w:rsidRDefault="001F114B" w:rsidP="00C309E9">
      <w:pPr>
        <w:pStyle w:val="Default"/>
        <w:spacing w:before="240"/>
        <w:rPr>
          <w:rFonts w:ascii="Verdana" w:hAnsi="Verdana"/>
          <w:sz w:val="22"/>
          <w:szCs w:val="22"/>
        </w:rPr>
      </w:pPr>
      <w:r w:rsidRPr="00960C6E">
        <w:rPr>
          <w:rFonts w:ascii="Verdana" w:hAnsi="Verdana"/>
          <w:sz w:val="22"/>
          <w:szCs w:val="22"/>
        </w:rPr>
        <w:lastRenderedPageBreak/>
        <w:t>Non sono computabili nei 180 giorni, e di conse</w:t>
      </w:r>
      <w:r w:rsidR="00C309E9">
        <w:rPr>
          <w:rFonts w:ascii="Verdana" w:hAnsi="Verdana"/>
          <w:sz w:val="22"/>
          <w:szCs w:val="22"/>
        </w:rPr>
        <w:t xml:space="preserve">guenza neppure nei 120 giorni: </w:t>
      </w:r>
      <w:r w:rsidRPr="00960C6E">
        <w:rPr>
          <w:rFonts w:ascii="Verdana" w:hAnsi="Verdana"/>
          <w:sz w:val="22"/>
          <w:szCs w:val="22"/>
        </w:rPr>
        <w:t>giorni</w:t>
      </w:r>
      <w:r w:rsidR="00C309E9">
        <w:rPr>
          <w:rFonts w:ascii="Verdana" w:hAnsi="Verdana"/>
          <w:sz w:val="22"/>
          <w:szCs w:val="22"/>
        </w:rPr>
        <w:t xml:space="preserve"> di ferie e recupero festività, assenze per malattia, congedi parentali, permessi retribuiti e </w:t>
      </w:r>
      <w:r w:rsidRPr="00960C6E">
        <w:rPr>
          <w:rFonts w:ascii="Verdana" w:hAnsi="Verdana"/>
          <w:sz w:val="22"/>
          <w:szCs w:val="22"/>
        </w:rPr>
        <w:t xml:space="preserve">aspettative. </w:t>
      </w:r>
    </w:p>
    <w:p w:rsidR="001F114B" w:rsidRPr="00C309E9" w:rsidRDefault="001F114B" w:rsidP="001F114B">
      <w:pPr>
        <w:pStyle w:val="Default"/>
        <w:rPr>
          <w:rFonts w:ascii="Verdana" w:hAnsi="Verdana"/>
          <w:sz w:val="22"/>
          <w:szCs w:val="22"/>
          <w:u w:val="single"/>
        </w:rPr>
      </w:pPr>
      <w:r w:rsidRPr="00C309E9">
        <w:rPr>
          <w:rFonts w:ascii="Verdana" w:hAnsi="Verdana"/>
          <w:b/>
          <w:bCs/>
          <w:sz w:val="22"/>
          <w:szCs w:val="22"/>
          <w:u w:val="single"/>
        </w:rPr>
        <w:t xml:space="preserve">Il tutor </w:t>
      </w:r>
    </w:p>
    <w:p w:rsidR="00C309E9" w:rsidRDefault="001F114B" w:rsidP="001F114B">
      <w:pPr>
        <w:pStyle w:val="Default"/>
        <w:rPr>
          <w:rFonts w:ascii="Verdana" w:hAnsi="Verdana"/>
          <w:sz w:val="22"/>
          <w:szCs w:val="22"/>
        </w:rPr>
      </w:pPr>
      <w:r w:rsidRPr="00960C6E">
        <w:rPr>
          <w:rFonts w:ascii="Verdana" w:hAnsi="Verdana"/>
          <w:sz w:val="22"/>
          <w:szCs w:val="22"/>
        </w:rPr>
        <w:t>Particolare attenzione deve essere posta nella individuazione del docente tutor, individuazione che spetta al Dirigente Scolastico attraverso l’opportuno coinvolgimento del Collegio. Tale figura assume un ruolo significativo nel corso dell'intero anno scolastico con funzioni di accoglienza, accompagnamento, tutoraggi</w:t>
      </w:r>
      <w:r w:rsidR="00C309E9">
        <w:rPr>
          <w:rFonts w:ascii="Verdana" w:hAnsi="Verdana"/>
          <w:sz w:val="22"/>
          <w:szCs w:val="22"/>
        </w:rPr>
        <w:t>o e supervisione professionale.</w:t>
      </w:r>
    </w:p>
    <w:p w:rsidR="001F114B" w:rsidRPr="00960C6E" w:rsidRDefault="001F114B" w:rsidP="00C309E9">
      <w:pPr>
        <w:pStyle w:val="Default"/>
        <w:spacing w:before="240" w:after="240"/>
        <w:rPr>
          <w:rFonts w:ascii="Verdana" w:hAnsi="Verdana"/>
          <w:sz w:val="22"/>
          <w:szCs w:val="22"/>
        </w:rPr>
      </w:pPr>
      <w:r w:rsidRPr="00960C6E">
        <w:rPr>
          <w:rFonts w:ascii="Verdana" w:hAnsi="Verdana"/>
          <w:sz w:val="22"/>
          <w:szCs w:val="22"/>
        </w:rPr>
        <w:t xml:space="preserve">Il compito istruttorio affidato al tutor è impegnativo e richiede competenze organizzative, didattiche e relazionali, in un intreccio continuo tra pratica e riflessione, con lo scopo di caratterizzare il periodo di formazione e prova come effettivo momento di crescita e di sviluppo professionale. </w:t>
      </w:r>
    </w:p>
    <w:p w:rsidR="001F114B" w:rsidRPr="00C309E9" w:rsidRDefault="001F114B" w:rsidP="001F114B">
      <w:pPr>
        <w:pStyle w:val="Default"/>
        <w:rPr>
          <w:rFonts w:ascii="Verdana" w:hAnsi="Verdana"/>
          <w:sz w:val="22"/>
          <w:szCs w:val="22"/>
          <w:u w:val="single"/>
        </w:rPr>
      </w:pPr>
      <w:r w:rsidRPr="00C309E9">
        <w:rPr>
          <w:rFonts w:ascii="Verdana" w:hAnsi="Verdana"/>
          <w:b/>
          <w:bCs/>
          <w:sz w:val="22"/>
          <w:szCs w:val="22"/>
          <w:u w:val="single"/>
        </w:rPr>
        <w:t xml:space="preserve">Il modello formativo </w:t>
      </w:r>
    </w:p>
    <w:p w:rsidR="001F114B" w:rsidRPr="00960C6E" w:rsidRDefault="001F114B" w:rsidP="001F114B">
      <w:pPr>
        <w:pStyle w:val="Default"/>
        <w:rPr>
          <w:rFonts w:ascii="Verdana" w:hAnsi="Verdana"/>
          <w:sz w:val="22"/>
          <w:szCs w:val="22"/>
        </w:rPr>
      </w:pPr>
      <w:r w:rsidRPr="00960C6E">
        <w:rPr>
          <w:rFonts w:ascii="Verdana" w:hAnsi="Verdana"/>
          <w:sz w:val="22"/>
          <w:szCs w:val="22"/>
        </w:rPr>
        <w:t xml:space="preserve">Il percorso formativo comporta 50 ore complessive di attività suddivise in: </w:t>
      </w:r>
    </w:p>
    <w:p w:rsidR="00C309E9" w:rsidRDefault="001F114B" w:rsidP="001F114B">
      <w:pPr>
        <w:pStyle w:val="Default"/>
        <w:numPr>
          <w:ilvl w:val="0"/>
          <w:numId w:val="1"/>
        </w:numPr>
        <w:spacing w:after="129"/>
        <w:rPr>
          <w:rFonts w:ascii="Verdana" w:hAnsi="Verdana"/>
          <w:sz w:val="22"/>
          <w:szCs w:val="22"/>
        </w:rPr>
      </w:pPr>
      <w:r w:rsidRPr="00960C6E">
        <w:rPr>
          <w:rFonts w:ascii="Verdana" w:hAnsi="Verdana"/>
          <w:sz w:val="22"/>
          <w:szCs w:val="22"/>
        </w:rPr>
        <w:t>incontro iniziale a cu</w:t>
      </w:r>
      <w:r w:rsidR="00C309E9">
        <w:rPr>
          <w:rFonts w:ascii="Verdana" w:hAnsi="Verdana"/>
          <w:sz w:val="22"/>
          <w:szCs w:val="22"/>
        </w:rPr>
        <w:t xml:space="preserve">ra degli USR e UST, durata 3 h </w:t>
      </w:r>
    </w:p>
    <w:p w:rsidR="00C309E9" w:rsidRDefault="001F114B" w:rsidP="001F114B">
      <w:pPr>
        <w:pStyle w:val="Default"/>
        <w:numPr>
          <w:ilvl w:val="0"/>
          <w:numId w:val="1"/>
        </w:numPr>
        <w:spacing w:after="129"/>
        <w:rPr>
          <w:rFonts w:ascii="Verdana" w:hAnsi="Verdana"/>
          <w:sz w:val="22"/>
          <w:szCs w:val="22"/>
        </w:rPr>
      </w:pPr>
      <w:r w:rsidRPr="00C309E9">
        <w:rPr>
          <w:rFonts w:ascii="Verdana" w:hAnsi="Verdana"/>
          <w:sz w:val="22"/>
          <w:szCs w:val="22"/>
        </w:rPr>
        <w:t>attività laboratoriali in presenza per una durata complessiva di 12 h, progettate sui bisogni formativi segnalati dai docenti neo-assunti nelle apposite rilevazioni che verranno condotte dopo la predisposizione del bilancio di competenze nei diversi contesti territoriali e per le diverse tipologie di insegnamento. Si ricorda che anche nel 2016/17 sarà obbligatoria la frequenza di almeno un modulo dedicato ai temi dei bisogni educativi speciali e della disabilità</w:t>
      </w:r>
    </w:p>
    <w:p w:rsidR="00C309E9" w:rsidRDefault="001F114B" w:rsidP="001F114B">
      <w:pPr>
        <w:pStyle w:val="Default"/>
        <w:numPr>
          <w:ilvl w:val="0"/>
          <w:numId w:val="1"/>
        </w:numPr>
        <w:spacing w:after="129"/>
        <w:rPr>
          <w:rFonts w:ascii="Verdana" w:hAnsi="Verdana"/>
          <w:sz w:val="22"/>
          <w:szCs w:val="22"/>
        </w:rPr>
      </w:pPr>
      <w:r w:rsidRPr="00C309E9">
        <w:rPr>
          <w:rFonts w:ascii="Verdana" w:hAnsi="Verdana"/>
          <w:sz w:val="22"/>
          <w:szCs w:val="22"/>
        </w:rPr>
        <w:t>attività tra pari, docente neo assunto e tutor, per la durata di 12 h, che devono comprendere la progettazione, il confronto e la rielaborazione dell’esperienza comprese sperimentazione e validazione di risorse didattiche e/o di attività progettuali per disegnare un quadro complessivo dei diversi aspetti</w:t>
      </w:r>
      <w:r w:rsidR="00C309E9">
        <w:rPr>
          <w:rFonts w:ascii="Verdana" w:hAnsi="Verdana"/>
          <w:sz w:val="22"/>
          <w:szCs w:val="22"/>
        </w:rPr>
        <w:t xml:space="preserve"> della professionalità docente</w:t>
      </w:r>
    </w:p>
    <w:p w:rsidR="00C309E9" w:rsidRDefault="001F114B" w:rsidP="001F114B">
      <w:pPr>
        <w:pStyle w:val="Default"/>
        <w:numPr>
          <w:ilvl w:val="0"/>
          <w:numId w:val="1"/>
        </w:numPr>
        <w:spacing w:after="129"/>
        <w:rPr>
          <w:rFonts w:ascii="Verdana" w:hAnsi="Verdana"/>
          <w:sz w:val="22"/>
          <w:szCs w:val="22"/>
        </w:rPr>
      </w:pPr>
      <w:r w:rsidRPr="00C309E9">
        <w:rPr>
          <w:rFonts w:ascii="Verdana" w:hAnsi="Verdana"/>
          <w:sz w:val="22"/>
          <w:szCs w:val="22"/>
        </w:rPr>
        <w:t>rielaborazione professionale per una durata di 20 ore, supportata anche dalla ricerca on line di materiali, risorse didattiche, siti dedicati, e sviluppata con gli strumenti proposti dall’ambiente on line di INDIRE, bilancio di competenze, portfolio professionale, p</w:t>
      </w:r>
      <w:r w:rsidR="00C309E9">
        <w:rPr>
          <w:rFonts w:ascii="Verdana" w:hAnsi="Verdana"/>
          <w:sz w:val="22"/>
          <w:szCs w:val="22"/>
        </w:rPr>
        <w:t>atto per lo sviluppo formativo</w:t>
      </w:r>
    </w:p>
    <w:p w:rsidR="001F114B" w:rsidRPr="00C309E9" w:rsidRDefault="001F114B" w:rsidP="001F114B">
      <w:pPr>
        <w:pStyle w:val="Default"/>
        <w:numPr>
          <w:ilvl w:val="0"/>
          <w:numId w:val="1"/>
        </w:numPr>
        <w:spacing w:after="129"/>
        <w:rPr>
          <w:rFonts w:ascii="Verdana" w:hAnsi="Verdana"/>
          <w:sz w:val="22"/>
          <w:szCs w:val="22"/>
        </w:rPr>
      </w:pPr>
      <w:r w:rsidRPr="00C309E9">
        <w:rPr>
          <w:rFonts w:ascii="Verdana" w:hAnsi="Verdana"/>
          <w:sz w:val="22"/>
          <w:szCs w:val="22"/>
        </w:rPr>
        <w:t xml:space="preserve">incontro conclusivo a cura degli USR e UST, durata 3 h. </w:t>
      </w:r>
    </w:p>
    <w:p w:rsidR="001F114B" w:rsidRPr="00C309E9" w:rsidRDefault="001F114B" w:rsidP="00C309E9">
      <w:pPr>
        <w:pStyle w:val="Default"/>
        <w:spacing w:after="240"/>
        <w:rPr>
          <w:rFonts w:ascii="Verdana" w:hAnsi="Verdana"/>
          <w:sz w:val="22"/>
          <w:szCs w:val="22"/>
          <w:u w:val="single"/>
        </w:rPr>
      </w:pPr>
      <w:r w:rsidRPr="00960C6E">
        <w:rPr>
          <w:rFonts w:ascii="Verdana" w:hAnsi="Verdana"/>
          <w:sz w:val="22"/>
          <w:szCs w:val="22"/>
        </w:rPr>
        <w:t xml:space="preserve">Per consentire alle singole Istituzioni scolastiche e ai docenti in periodo di formazione e prova di ipotizzare le tempistiche di realizzazione delle fasi di loro competenza si comunica che </w:t>
      </w:r>
      <w:r w:rsidRPr="00C309E9">
        <w:rPr>
          <w:rFonts w:ascii="Verdana" w:hAnsi="Verdana"/>
          <w:sz w:val="22"/>
          <w:szCs w:val="22"/>
          <w:u w:val="single"/>
        </w:rPr>
        <w:t xml:space="preserve">INDIRE ha annunciato l’apertura della piattaforma per il 5 dicembre p.v. anticipando che alcuni documenti, tra cui il modello di bilancio di competenze, saranno revisionati per semplificarne l’utilizzo. </w:t>
      </w:r>
    </w:p>
    <w:p w:rsidR="001F114B" w:rsidRPr="00C309E9" w:rsidRDefault="001F114B" w:rsidP="001F114B">
      <w:pPr>
        <w:pStyle w:val="Default"/>
        <w:rPr>
          <w:rFonts w:ascii="Verdana" w:hAnsi="Verdana"/>
          <w:sz w:val="22"/>
          <w:szCs w:val="22"/>
          <w:u w:val="single"/>
        </w:rPr>
      </w:pPr>
      <w:r w:rsidRPr="00C309E9">
        <w:rPr>
          <w:rFonts w:ascii="Verdana" w:hAnsi="Verdana"/>
          <w:b/>
          <w:bCs/>
          <w:sz w:val="22"/>
          <w:szCs w:val="22"/>
          <w:u w:val="single"/>
        </w:rPr>
        <w:t xml:space="preserve">Obiettivi, modalità e criteri per la valutazione </w:t>
      </w:r>
    </w:p>
    <w:p w:rsidR="00C309E9" w:rsidRDefault="001F114B" w:rsidP="001F114B">
      <w:pPr>
        <w:pStyle w:val="Default"/>
        <w:rPr>
          <w:rFonts w:ascii="Verdana" w:hAnsi="Verdana"/>
          <w:sz w:val="22"/>
          <w:szCs w:val="22"/>
        </w:rPr>
      </w:pPr>
      <w:r w:rsidRPr="00960C6E">
        <w:rPr>
          <w:rFonts w:ascii="Verdana" w:hAnsi="Verdana"/>
          <w:sz w:val="22"/>
          <w:szCs w:val="22"/>
        </w:rPr>
        <w:t xml:space="preserve">Il DM 850/15, emesso ai sensi della L. 107/15, art. 1, c. 118, individua anche obiettivi, modalità e criteri per la valutazione del personale docente in periodo di formazione e di prova. </w:t>
      </w:r>
    </w:p>
    <w:p w:rsidR="001F114B" w:rsidRPr="00960C6E" w:rsidRDefault="001F114B" w:rsidP="00C309E9">
      <w:pPr>
        <w:pStyle w:val="Default"/>
        <w:spacing w:before="240"/>
        <w:rPr>
          <w:rFonts w:ascii="Verdana" w:hAnsi="Verdana"/>
          <w:sz w:val="22"/>
          <w:szCs w:val="22"/>
        </w:rPr>
      </w:pPr>
      <w:r w:rsidRPr="00960C6E">
        <w:rPr>
          <w:rFonts w:ascii="Verdana" w:hAnsi="Verdana"/>
          <w:sz w:val="22"/>
          <w:szCs w:val="22"/>
        </w:rPr>
        <w:t xml:space="preserve">A tal proposito si rimanda alla nota 30 dicembre 2015, </w:t>
      </w:r>
      <w:proofErr w:type="spellStart"/>
      <w:r w:rsidRPr="00960C6E">
        <w:rPr>
          <w:rFonts w:ascii="Verdana" w:hAnsi="Verdana"/>
          <w:sz w:val="22"/>
          <w:szCs w:val="22"/>
        </w:rPr>
        <w:t>prot</w:t>
      </w:r>
      <w:proofErr w:type="spellEnd"/>
      <w:r w:rsidRPr="00960C6E">
        <w:rPr>
          <w:rFonts w:ascii="Verdana" w:hAnsi="Verdana"/>
          <w:sz w:val="22"/>
          <w:szCs w:val="22"/>
        </w:rPr>
        <w:t xml:space="preserve">. AOODRLO 18749, reperibile al link: </w:t>
      </w:r>
    </w:p>
    <w:p w:rsidR="001F114B" w:rsidRDefault="009B2504" w:rsidP="00C309E9">
      <w:pPr>
        <w:pStyle w:val="Default"/>
        <w:spacing w:after="240"/>
        <w:rPr>
          <w:rFonts w:ascii="Verdana" w:hAnsi="Verdana"/>
          <w:sz w:val="22"/>
          <w:szCs w:val="22"/>
        </w:rPr>
      </w:pPr>
      <w:hyperlink r:id="rId8" w:history="1">
        <w:r w:rsidR="00C309E9" w:rsidRPr="00CE6F46">
          <w:rPr>
            <w:rStyle w:val="Collegamentoipertestuale"/>
            <w:rFonts w:ascii="Verdana" w:hAnsi="Verdana"/>
            <w:sz w:val="22"/>
            <w:szCs w:val="22"/>
          </w:rPr>
          <w:t>http://www.istruzione.lombardia.gov.it/protlo_18749_30_dicembre_2015/</w:t>
        </w:r>
      </w:hyperlink>
    </w:p>
    <w:p w:rsidR="001F114B" w:rsidRPr="00C309E9" w:rsidRDefault="001F114B" w:rsidP="001F114B">
      <w:pPr>
        <w:pStyle w:val="Default"/>
        <w:rPr>
          <w:rFonts w:ascii="Verdana" w:hAnsi="Verdana"/>
          <w:sz w:val="22"/>
          <w:szCs w:val="22"/>
          <w:u w:val="single"/>
        </w:rPr>
      </w:pPr>
      <w:r w:rsidRPr="00C309E9">
        <w:rPr>
          <w:rFonts w:ascii="Verdana" w:hAnsi="Verdana"/>
          <w:b/>
          <w:bCs/>
          <w:sz w:val="22"/>
          <w:szCs w:val="22"/>
          <w:u w:val="single"/>
        </w:rPr>
        <w:t xml:space="preserve">Adempimenti organizzativi a livello regionale </w:t>
      </w:r>
    </w:p>
    <w:p w:rsidR="00C309E9" w:rsidRDefault="001F114B" w:rsidP="001F114B">
      <w:pPr>
        <w:pStyle w:val="Default"/>
        <w:rPr>
          <w:rFonts w:ascii="Verdana" w:hAnsi="Verdana"/>
          <w:sz w:val="22"/>
          <w:szCs w:val="22"/>
        </w:rPr>
      </w:pPr>
      <w:r w:rsidRPr="00960C6E">
        <w:rPr>
          <w:rFonts w:ascii="Verdana" w:hAnsi="Verdana"/>
          <w:sz w:val="22"/>
          <w:szCs w:val="22"/>
        </w:rPr>
        <w:t>Ogni Istituzione scolastica provvederà a trasmettere i dati di tutti i docenti in periodo di formazione e di prova che prestano servizio</w:t>
      </w:r>
      <w:r w:rsidR="00C309E9">
        <w:rPr>
          <w:rFonts w:ascii="Verdana" w:hAnsi="Verdana"/>
          <w:sz w:val="22"/>
          <w:szCs w:val="22"/>
        </w:rPr>
        <w:t xml:space="preserve"> presso il proprio Istituto.</w:t>
      </w:r>
    </w:p>
    <w:p w:rsidR="001F114B" w:rsidRPr="00960C6E" w:rsidRDefault="001F114B" w:rsidP="00C309E9">
      <w:pPr>
        <w:pStyle w:val="Default"/>
        <w:spacing w:before="240"/>
        <w:rPr>
          <w:rFonts w:ascii="Verdana" w:hAnsi="Verdana"/>
          <w:sz w:val="22"/>
          <w:szCs w:val="22"/>
        </w:rPr>
      </w:pPr>
      <w:r w:rsidRPr="00960C6E">
        <w:rPr>
          <w:rFonts w:ascii="Verdana" w:hAnsi="Verdana"/>
          <w:sz w:val="22"/>
          <w:szCs w:val="22"/>
        </w:rPr>
        <w:t xml:space="preserve">La trasmissione delle suddette informazioni avverrà attraverso la compilazione di un apposito </w:t>
      </w:r>
      <w:proofErr w:type="spellStart"/>
      <w:r w:rsidRPr="00960C6E">
        <w:rPr>
          <w:rFonts w:ascii="Verdana" w:hAnsi="Verdana"/>
          <w:sz w:val="22"/>
          <w:szCs w:val="22"/>
        </w:rPr>
        <w:t>form</w:t>
      </w:r>
      <w:proofErr w:type="spellEnd"/>
      <w:r w:rsidRPr="00960C6E">
        <w:rPr>
          <w:rFonts w:ascii="Verdana" w:hAnsi="Verdana"/>
          <w:sz w:val="22"/>
          <w:szCs w:val="22"/>
        </w:rPr>
        <w:t xml:space="preserve"> on line</w:t>
      </w:r>
      <w:r w:rsidR="00C309E9">
        <w:rPr>
          <w:rFonts w:ascii="Verdana" w:hAnsi="Verdana"/>
          <w:sz w:val="22"/>
          <w:szCs w:val="22"/>
        </w:rPr>
        <w:t xml:space="preserve">. </w:t>
      </w:r>
      <w:r w:rsidRPr="00960C6E">
        <w:rPr>
          <w:rFonts w:ascii="Verdana" w:hAnsi="Verdana"/>
          <w:sz w:val="22"/>
          <w:szCs w:val="22"/>
        </w:rPr>
        <w:t xml:space="preserve">Ogni Ufficio Scolastico Territoriale fornirà le istruzioni necessarie e fisserà le scadenze temporali che dovranno essere osservate dalle Istituzioni scolastiche del territorio di competenza. </w:t>
      </w:r>
    </w:p>
    <w:p w:rsidR="00C309E9" w:rsidRDefault="001F114B" w:rsidP="00C309E9">
      <w:pPr>
        <w:pStyle w:val="Default"/>
        <w:spacing w:before="240"/>
        <w:rPr>
          <w:rFonts w:ascii="Verdana" w:hAnsi="Verdana"/>
          <w:sz w:val="22"/>
          <w:szCs w:val="22"/>
        </w:rPr>
      </w:pPr>
      <w:r w:rsidRPr="00960C6E">
        <w:rPr>
          <w:rFonts w:ascii="Verdana" w:hAnsi="Verdana"/>
          <w:sz w:val="22"/>
          <w:szCs w:val="22"/>
        </w:rPr>
        <w:lastRenderedPageBreak/>
        <w:t>Verranno organizzati anche incontri sul territorio dedicati ai tutor con l’obiettivo di informare, rilevare e</w:t>
      </w:r>
      <w:r w:rsidR="00C309E9">
        <w:rPr>
          <w:rFonts w:ascii="Verdana" w:hAnsi="Verdana"/>
          <w:sz w:val="22"/>
          <w:szCs w:val="22"/>
        </w:rPr>
        <w:t xml:space="preserve"> condividere bisogni e risorse.</w:t>
      </w:r>
    </w:p>
    <w:p w:rsidR="001F114B" w:rsidRPr="00960C6E" w:rsidRDefault="001F114B" w:rsidP="00C309E9">
      <w:pPr>
        <w:pStyle w:val="Default"/>
        <w:spacing w:before="240"/>
        <w:rPr>
          <w:rFonts w:ascii="Verdana" w:hAnsi="Verdana"/>
          <w:sz w:val="22"/>
          <w:szCs w:val="22"/>
        </w:rPr>
      </w:pPr>
      <w:r w:rsidRPr="00960C6E">
        <w:rPr>
          <w:rFonts w:ascii="Verdana" w:hAnsi="Verdana"/>
          <w:sz w:val="22"/>
          <w:szCs w:val="22"/>
        </w:rPr>
        <w:t xml:space="preserve">Tempi e modalità di realizzazione saranno decisi nei diversi territori e comunicati dagli Uffici territoriali competenti. </w:t>
      </w:r>
    </w:p>
    <w:p w:rsidR="001F114B" w:rsidRPr="00960C6E" w:rsidRDefault="001F114B" w:rsidP="001F114B">
      <w:pPr>
        <w:rPr>
          <w:rFonts w:ascii="Verdana" w:hAnsi="Verdana"/>
        </w:rPr>
      </w:pPr>
    </w:p>
    <w:p w:rsidR="009B2504" w:rsidRPr="00C11B84" w:rsidRDefault="009B2504" w:rsidP="009B2504">
      <w:pPr>
        <w:spacing w:after="0" w:line="240" w:lineRule="auto"/>
        <w:ind w:left="5664"/>
        <w:rPr>
          <w:rFonts w:ascii="Verdana" w:hAnsi="Verdana"/>
        </w:rPr>
      </w:pPr>
      <w:r>
        <w:tab/>
      </w:r>
      <w:r>
        <w:tab/>
      </w:r>
      <w:r>
        <w:tab/>
      </w:r>
      <w:r>
        <w:tab/>
      </w:r>
      <w:r>
        <w:tab/>
      </w:r>
      <w:r>
        <w:tab/>
      </w:r>
      <w:r>
        <w:tab/>
      </w:r>
      <w:r w:rsidRPr="00C11B84">
        <w:rPr>
          <w:rFonts w:ascii="Verdana" w:hAnsi="Verdana"/>
        </w:rPr>
        <w:t>Il Dirigente Scolastico</w:t>
      </w:r>
    </w:p>
    <w:p w:rsidR="009B2504" w:rsidRPr="00C11B84" w:rsidRDefault="009B2504" w:rsidP="009B2504">
      <w:pPr>
        <w:spacing w:after="0" w:line="240" w:lineRule="auto"/>
        <w:ind w:left="6372"/>
        <w:rPr>
          <w:rFonts w:ascii="Verdana" w:hAnsi="Verdana"/>
        </w:rPr>
      </w:pPr>
      <w:r w:rsidRPr="00C11B84">
        <w:rPr>
          <w:rFonts w:ascii="Verdana" w:hAnsi="Verdana"/>
        </w:rPr>
        <w:t>Prof.ssa Maria Lucia Lecchi</w:t>
      </w:r>
    </w:p>
    <w:p w:rsidR="009B2504" w:rsidRPr="00E079FA" w:rsidRDefault="009B2504" w:rsidP="009B2504">
      <w:pPr>
        <w:spacing w:after="0" w:line="240" w:lineRule="auto"/>
        <w:rPr>
          <w:rFonts w:ascii="Verdana" w:hAnsi="Verdana"/>
          <w:vertAlign w:val="subscript"/>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vertAlign w:val="subscript"/>
        </w:rPr>
        <w:t xml:space="preserve"> </w:t>
      </w:r>
      <w:r>
        <w:rPr>
          <w:rFonts w:ascii="Verdana" w:hAnsi="Verdana"/>
          <w:vertAlign w:val="subscript"/>
        </w:rPr>
        <w:tab/>
      </w:r>
      <w:r>
        <w:rPr>
          <w:rFonts w:ascii="Verdana" w:hAnsi="Verdana"/>
          <w:vertAlign w:val="subscript"/>
        </w:rPr>
        <w:tab/>
      </w:r>
      <w:r>
        <w:rPr>
          <w:rFonts w:ascii="Verdana" w:hAnsi="Verdana"/>
          <w:vertAlign w:val="subscript"/>
        </w:rPr>
        <w:tab/>
      </w:r>
      <w:r w:rsidRPr="00E079FA">
        <w:rPr>
          <w:rFonts w:ascii="Verdana" w:hAnsi="Verdana"/>
          <w:vertAlign w:val="subscript"/>
        </w:rPr>
        <w:t xml:space="preserve">Firma apposta ai sensi del’art.3 comma 2 </w:t>
      </w:r>
      <w:proofErr w:type="spellStart"/>
      <w:r w:rsidRPr="00E079FA">
        <w:rPr>
          <w:rFonts w:ascii="Verdana" w:hAnsi="Verdana"/>
          <w:vertAlign w:val="subscript"/>
        </w:rPr>
        <w:t>D.</w:t>
      </w:r>
      <w:proofErr w:type="gramStart"/>
      <w:r w:rsidRPr="00E079FA">
        <w:rPr>
          <w:rFonts w:ascii="Verdana" w:hAnsi="Verdana"/>
          <w:vertAlign w:val="subscript"/>
        </w:rPr>
        <w:t>L.vo</w:t>
      </w:r>
      <w:proofErr w:type="spellEnd"/>
      <w:proofErr w:type="gramEnd"/>
      <w:r w:rsidRPr="00E079FA">
        <w:rPr>
          <w:rFonts w:ascii="Verdana" w:hAnsi="Verdana"/>
          <w:vertAlign w:val="subscript"/>
        </w:rPr>
        <w:t xml:space="preserve"> n. 39/93</w:t>
      </w:r>
    </w:p>
    <w:p w:rsidR="009B2504" w:rsidRPr="00E079FA" w:rsidRDefault="009B2504" w:rsidP="009B2504">
      <w:pPr>
        <w:spacing w:after="0" w:line="240" w:lineRule="auto"/>
        <w:rPr>
          <w:rFonts w:ascii="Verdana" w:hAnsi="Verdana"/>
          <w:vertAlign w:val="subscript"/>
        </w:rPr>
      </w:pPr>
      <w:bookmarkStart w:id="0" w:name="_GoBack"/>
      <w:bookmarkEnd w:id="0"/>
    </w:p>
    <w:sectPr w:rsidR="009B2504" w:rsidRPr="00E079FA" w:rsidSect="00C32C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EAC"/>
    <w:multiLevelType w:val="hybridMultilevel"/>
    <w:tmpl w:val="FAA2A4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4D64D3"/>
    <w:multiLevelType w:val="hybridMultilevel"/>
    <w:tmpl w:val="94E0C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B8"/>
    <w:rsid w:val="001F114B"/>
    <w:rsid w:val="003139AD"/>
    <w:rsid w:val="005D1DAC"/>
    <w:rsid w:val="00670A38"/>
    <w:rsid w:val="00960C6E"/>
    <w:rsid w:val="009B2504"/>
    <w:rsid w:val="009B6876"/>
    <w:rsid w:val="00C154A8"/>
    <w:rsid w:val="00C309E9"/>
    <w:rsid w:val="00C32C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4A62"/>
  <w15:chartTrackingRefBased/>
  <w15:docId w15:val="{5D2DEDA6-8C94-4188-A754-C84F4D74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2CB8"/>
    <w:pPr>
      <w:spacing w:after="160"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2CB8"/>
    <w:rPr>
      <w:color w:val="0000FF"/>
      <w:u w:val="single"/>
    </w:rPr>
  </w:style>
  <w:style w:type="paragraph" w:styleId="Intestazione">
    <w:name w:val="header"/>
    <w:basedOn w:val="Normale"/>
    <w:link w:val="IntestazioneCarattere"/>
    <w:rsid w:val="00C154A8"/>
    <w:pPr>
      <w:widowControl w:val="0"/>
      <w:tabs>
        <w:tab w:val="center" w:pos="4819"/>
        <w:tab w:val="right" w:pos="9638"/>
      </w:tabs>
      <w:suppressAutoHyphens/>
      <w:spacing w:after="0" w:line="240" w:lineRule="auto"/>
    </w:pPr>
    <w:rPr>
      <w:rFonts w:ascii="Arial" w:eastAsia="Lucida Sans Unicode" w:hAnsi="Arial"/>
      <w:color w:val="000000"/>
      <w:sz w:val="24"/>
      <w:szCs w:val="24"/>
    </w:rPr>
  </w:style>
  <w:style w:type="character" w:customStyle="1" w:styleId="IntestazioneCarattere">
    <w:name w:val="Intestazione Carattere"/>
    <w:basedOn w:val="Carpredefinitoparagrafo"/>
    <w:link w:val="Intestazione"/>
    <w:rsid w:val="00C154A8"/>
    <w:rPr>
      <w:rFonts w:ascii="Arial" w:eastAsia="Lucida Sans Unicode" w:hAnsi="Arial" w:cs="Times New Roman"/>
      <w:color w:val="000000"/>
      <w:sz w:val="24"/>
      <w:szCs w:val="24"/>
    </w:rPr>
  </w:style>
  <w:style w:type="paragraph" w:customStyle="1" w:styleId="Contenutotabella">
    <w:name w:val="Contenuto tabella"/>
    <w:basedOn w:val="Corpotesto"/>
    <w:rsid w:val="00C154A8"/>
    <w:pPr>
      <w:widowControl w:val="0"/>
      <w:suppressLineNumbers/>
      <w:suppressAutoHyphens/>
      <w:spacing w:line="240" w:lineRule="auto"/>
    </w:pPr>
    <w:rPr>
      <w:rFonts w:ascii="Times New Roman" w:eastAsia="Lucida Sans Unicode" w:hAnsi="Times New Roman"/>
      <w:color w:val="000000"/>
      <w:sz w:val="24"/>
      <w:szCs w:val="24"/>
    </w:rPr>
  </w:style>
  <w:style w:type="paragraph" w:customStyle="1" w:styleId="Intestazionetabella">
    <w:name w:val="Intestazione tabella"/>
    <w:basedOn w:val="Contenutotabella"/>
    <w:rsid w:val="00C154A8"/>
    <w:pPr>
      <w:jc w:val="center"/>
    </w:pPr>
    <w:rPr>
      <w:b/>
      <w:bCs/>
      <w:i/>
      <w:iCs/>
    </w:rPr>
  </w:style>
  <w:style w:type="paragraph" w:styleId="Corpotesto">
    <w:name w:val="Body Text"/>
    <w:basedOn w:val="Normale"/>
    <w:link w:val="CorpotestoCarattere"/>
    <w:uiPriority w:val="99"/>
    <w:semiHidden/>
    <w:unhideWhenUsed/>
    <w:rsid w:val="00C154A8"/>
    <w:pPr>
      <w:spacing w:after="120"/>
    </w:pPr>
  </w:style>
  <w:style w:type="character" w:customStyle="1" w:styleId="CorpotestoCarattere">
    <w:name w:val="Corpo testo Carattere"/>
    <w:basedOn w:val="Carpredefinitoparagrafo"/>
    <w:link w:val="Corpotesto"/>
    <w:uiPriority w:val="99"/>
    <w:semiHidden/>
    <w:rsid w:val="00C154A8"/>
    <w:rPr>
      <w:rFonts w:ascii="Calibri" w:eastAsia="Calibri" w:hAnsi="Calibri" w:cs="Times New Roman"/>
    </w:rPr>
  </w:style>
  <w:style w:type="paragraph" w:customStyle="1" w:styleId="Default">
    <w:name w:val="Default"/>
    <w:rsid w:val="001F114B"/>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4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lombardia.gov.it/protlo_18749_30_dicembre_2015/" TargetMode="External"/><Relationship Id="rId3" Type="http://schemas.openxmlformats.org/officeDocument/2006/relationships/styles" Target="styles.xml"/><Relationship Id="rId7" Type="http://schemas.openxmlformats.org/officeDocument/2006/relationships/hyperlink" Target="http://www.icsulbiateronco.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5CDDE-D414-49AB-816D-1E5FAA16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975</Words>
  <Characters>5559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Maria Meroni</dc:creator>
  <cp:keywords/>
  <dc:description/>
  <cp:lastModifiedBy>Carla Maria Meroni</cp:lastModifiedBy>
  <cp:revision>3</cp:revision>
  <cp:lastPrinted>2016-10-27T14:40:00Z</cp:lastPrinted>
  <dcterms:created xsi:type="dcterms:W3CDTF">2016-09-04T17:12:00Z</dcterms:created>
  <dcterms:modified xsi:type="dcterms:W3CDTF">2016-12-09T20:46:00Z</dcterms:modified>
</cp:coreProperties>
</file>